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荣获2016年度保定市社会主义核心价值观教育优秀案例奖名单</w:t>
      </w:r>
    </w:p>
    <w:p>
      <w:pPr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tbl>
      <w:tblPr>
        <w:tblStyle w:val="4"/>
        <w:tblW w:w="83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5160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textDirection w:val="lrTb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160" w:type="dxa"/>
            <w:textDirection w:val="lrTb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2265" w:type="dxa"/>
            <w:textDirection w:val="lrTb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160" w:type="dxa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  <w:t>“百名博士河北行”京冀高校专家与博士生服务团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2265" w:type="dxa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李军凯、刘振东</w:t>
            </w:r>
          </w:p>
          <w:p>
            <w:pPr>
              <w:jc w:val="left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吕  静、宋少俊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160" w:type="dxa"/>
            <w:vAlign w:val="center"/>
          </w:tcPr>
          <w:p>
            <w:pPr>
              <w:jc w:val="left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  <w:t>中华优秀传统文化涵育社会主义核心价值观的实践探索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李维意、徐兰英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  <w:t>“读经悟典”培育社会主义核心价值观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田海舰</w:t>
            </w: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旗黑-55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20C9F"/>
    <w:rsid w:val="65AE52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2017-05-24T01:52:08Z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